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458" w:rsidRDefault="00EF3458">
      <w:pPr>
        <w:widowControl/>
        <w:spacing w:line="360" w:lineRule="auto"/>
        <w:rPr>
          <w:rFonts w:ascii="仿宋_GB2312" w:eastAsia="仿宋_GB2312" w:hAnsi="宋体" w:cs="宋体"/>
          <w:b/>
          <w:color w:val="000000"/>
          <w:kern w:val="0"/>
          <w:sz w:val="32"/>
          <w:szCs w:val="32"/>
        </w:rPr>
      </w:pPr>
      <w:r>
        <w:rPr>
          <w:rFonts w:ascii="仿宋_GB2312" w:eastAsia="仿宋_GB2312" w:hint="eastAsia"/>
          <w:spacing w:val="-6"/>
          <w:sz w:val="32"/>
          <w:szCs w:val="32"/>
        </w:rPr>
        <w:t>附</w:t>
      </w:r>
      <w:bookmarkStart w:id="0" w:name="BodyEnd"/>
      <w:bookmarkEnd w:id="0"/>
    </w:p>
    <w:p w:rsidR="00EF3458" w:rsidRDefault="00EF3458">
      <w:pPr>
        <w:widowControl/>
        <w:spacing w:line="360" w:lineRule="auto"/>
        <w:jc w:val="center"/>
        <w:rPr>
          <w:rFonts w:ascii="仿宋_GB2312" w:eastAsia="仿宋_GB2312" w:hAnsi="宋体" w:cs="宋体"/>
          <w:color w:val="000000"/>
          <w:kern w:val="0"/>
          <w:sz w:val="32"/>
          <w:szCs w:val="32"/>
        </w:rPr>
      </w:pPr>
      <w:r>
        <w:rPr>
          <w:rFonts w:ascii="仿宋_GB2312" w:eastAsia="仿宋_GB2312" w:hAnsi="宋体" w:cs="宋体" w:hint="eastAsia"/>
          <w:b/>
          <w:color w:val="000000"/>
          <w:kern w:val="0"/>
          <w:sz w:val="32"/>
          <w:szCs w:val="32"/>
        </w:rPr>
        <w:t>中华人民共和国人力资源和社会保障部令</w:t>
      </w:r>
    </w:p>
    <w:p w:rsidR="00EF3458" w:rsidRDefault="00EF3458">
      <w:pPr>
        <w:widowControl/>
        <w:spacing w:line="360" w:lineRule="auto"/>
        <w:jc w:val="left"/>
        <w:rPr>
          <w:rFonts w:ascii="仿宋_GB2312" w:eastAsia="仿宋_GB2312" w:hAnsi="宋体" w:cs="宋体"/>
          <w:color w:val="000000"/>
          <w:kern w:val="0"/>
          <w:sz w:val="32"/>
          <w:szCs w:val="32"/>
        </w:rPr>
      </w:pPr>
      <w:r>
        <w:rPr>
          <w:rFonts w:ascii="宋体" w:eastAsia="仿宋_GB2312" w:hAnsi="宋体" w:cs="宋体"/>
          <w:color w:val="000000"/>
          <w:kern w:val="0"/>
          <w:sz w:val="32"/>
          <w:szCs w:val="32"/>
        </w:rPr>
        <w:t> </w:t>
      </w:r>
    </w:p>
    <w:p w:rsidR="00EF3458" w:rsidRDefault="00EF3458">
      <w:pPr>
        <w:widowControl/>
        <w:spacing w:line="360" w:lineRule="auto"/>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w:t>
      </w:r>
      <w:r>
        <w:rPr>
          <w:rFonts w:ascii="仿宋_GB2312" w:eastAsia="仿宋_GB2312" w:hAnsi="宋体" w:cs="宋体"/>
          <w:color w:val="000000"/>
          <w:kern w:val="0"/>
          <w:sz w:val="32"/>
          <w:szCs w:val="32"/>
        </w:rPr>
        <w:t>25</w:t>
      </w:r>
      <w:r>
        <w:rPr>
          <w:rFonts w:ascii="仿宋_GB2312" w:eastAsia="仿宋_GB2312" w:hAnsi="宋体" w:cs="宋体" w:hint="eastAsia"/>
          <w:color w:val="000000"/>
          <w:kern w:val="0"/>
          <w:sz w:val="32"/>
          <w:szCs w:val="32"/>
        </w:rPr>
        <w:t>号</w:t>
      </w:r>
    </w:p>
    <w:p w:rsidR="00EF3458" w:rsidRDefault="00EF3458">
      <w:pPr>
        <w:widowControl/>
        <w:spacing w:line="360" w:lineRule="auto"/>
        <w:jc w:val="left"/>
        <w:rPr>
          <w:rFonts w:ascii="仿宋_GB2312" w:eastAsia="仿宋_GB2312" w:hAnsi="宋体" w:cs="宋体"/>
          <w:color w:val="000000"/>
          <w:kern w:val="0"/>
          <w:sz w:val="32"/>
          <w:szCs w:val="32"/>
        </w:rPr>
      </w:pPr>
      <w:r>
        <w:rPr>
          <w:rFonts w:ascii="宋体" w:eastAsia="仿宋_GB2312" w:hAnsi="宋体" w:cs="宋体"/>
          <w:color w:val="000000"/>
          <w:kern w:val="0"/>
          <w:sz w:val="32"/>
          <w:szCs w:val="32"/>
        </w:rPr>
        <w:t> </w:t>
      </w:r>
    </w:p>
    <w:p w:rsidR="00EF3458" w:rsidRDefault="00EF3458" w:rsidP="00790FF0">
      <w:pPr>
        <w:widowControl/>
        <w:spacing w:line="360" w:lineRule="auto"/>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《专业技术人员继续教育规定》已经</w:t>
      </w: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8</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日人力资源社会保障部第</w:t>
      </w:r>
      <w:r>
        <w:rPr>
          <w:rFonts w:ascii="仿宋_GB2312" w:eastAsia="仿宋_GB2312" w:hAnsi="宋体" w:cs="宋体"/>
          <w:color w:val="000000"/>
          <w:kern w:val="0"/>
          <w:sz w:val="32"/>
          <w:szCs w:val="32"/>
        </w:rPr>
        <w:t>70</w:t>
      </w:r>
      <w:r>
        <w:rPr>
          <w:rFonts w:ascii="仿宋_GB2312" w:eastAsia="仿宋_GB2312" w:hAnsi="宋体" w:cs="宋体" w:hint="eastAsia"/>
          <w:color w:val="000000"/>
          <w:kern w:val="0"/>
          <w:sz w:val="32"/>
          <w:szCs w:val="32"/>
        </w:rPr>
        <w:t>次部务会讨论通过，现予公布，自</w:t>
      </w: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10</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日起施行。</w:t>
      </w:r>
    </w:p>
    <w:p w:rsidR="00EF3458" w:rsidRDefault="00EF3458">
      <w:pPr>
        <w:widowControl/>
        <w:spacing w:line="360" w:lineRule="auto"/>
        <w:jc w:val="center"/>
        <w:rPr>
          <w:rFonts w:ascii="仿宋_GB2312" w:eastAsia="仿宋_GB2312" w:hAnsi="宋体" w:cs="宋体"/>
          <w:color w:val="000000"/>
          <w:kern w:val="0"/>
          <w:sz w:val="32"/>
          <w:szCs w:val="32"/>
        </w:rPr>
      </w:pPr>
      <w:r>
        <w:rPr>
          <w:rFonts w:ascii="宋体" w:eastAsia="仿宋_GB2312" w:hAnsi="宋体" w:cs="宋体"/>
          <w:color w:val="000000"/>
          <w:kern w:val="0"/>
          <w:sz w:val="32"/>
          <w:szCs w:val="32"/>
        </w:rPr>
        <w:t> </w:t>
      </w:r>
    </w:p>
    <w:p w:rsidR="00EF3458" w:rsidRDefault="00EF3458">
      <w:pPr>
        <w:widowControl/>
        <w:spacing w:line="360" w:lineRule="auto"/>
        <w:jc w:val="center"/>
        <w:rPr>
          <w:rFonts w:ascii="仿宋_GB2312" w:eastAsia="仿宋_GB2312" w:hAnsi="宋体" w:cs="宋体"/>
          <w:color w:val="000000"/>
          <w:kern w:val="0"/>
          <w:sz w:val="32"/>
          <w:szCs w:val="32"/>
        </w:rPr>
      </w:pPr>
      <w:r>
        <w:rPr>
          <w:rFonts w:ascii="宋体" w:eastAsia="仿宋_GB2312" w:hAnsi="宋体" w:cs="宋体"/>
          <w:color w:val="000000"/>
          <w:kern w:val="0"/>
          <w:sz w:val="32"/>
          <w:szCs w:val="32"/>
        </w:rPr>
        <w:t> </w:t>
      </w:r>
    </w:p>
    <w:p w:rsidR="00EF3458" w:rsidRDefault="00EF3458">
      <w:pPr>
        <w:widowControl/>
        <w:spacing w:line="360" w:lineRule="auto"/>
        <w:jc w:val="center"/>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部长</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尹蔚民</w:t>
      </w:r>
    </w:p>
    <w:p w:rsidR="00EF3458" w:rsidRDefault="00EF3458">
      <w:pPr>
        <w:widowControl/>
        <w:spacing w:line="360" w:lineRule="auto"/>
        <w:ind w:right="640"/>
        <w:jc w:val="center"/>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2015</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8</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13</w:t>
      </w:r>
      <w:r>
        <w:rPr>
          <w:rFonts w:ascii="仿宋_GB2312" w:eastAsia="仿宋_GB2312" w:hAnsi="宋体" w:cs="宋体" w:hint="eastAsia"/>
          <w:color w:val="000000"/>
          <w:kern w:val="0"/>
          <w:sz w:val="32"/>
          <w:szCs w:val="32"/>
        </w:rPr>
        <w:t>日</w:t>
      </w:r>
    </w:p>
    <w:p w:rsidR="00EF3458" w:rsidRDefault="00EF3458">
      <w:pPr>
        <w:widowControl/>
        <w:spacing w:line="560" w:lineRule="exact"/>
        <w:jc w:val="center"/>
        <w:rPr>
          <w:rFonts w:ascii="仿宋_GB2312" w:eastAsia="仿宋_GB2312" w:hAnsi="宋体" w:cs="宋体"/>
          <w:color w:val="000000"/>
          <w:kern w:val="0"/>
          <w:sz w:val="32"/>
          <w:szCs w:val="32"/>
        </w:rPr>
      </w:pPr>
      <w:r>
        <w:rPr>
          <w:rFonts w:ascii="仿宋_GB2312" w:eastAsia="仿宋_GB2312" w:hAnsi="宋体"/>
          <w:color w:val="000000"/>
          <w:sz w:val="32"/>
          <w:szCs w:val="32"/>
        </w:rPr>
        <w:br w:type="page"/>
      </w:r>
      <w:bookmarkStart w:id="1" w:name="_Toc186257639"/>
      <w:bookmarkStart w:id="2" w:name="_Toc186257640"/>
      <w:r>
        <w:rPr>
          <w:rFonts w:ascii="宋体" w:eastAsia="仿宋_GB2312" w:hAnsi="宋体" w:cs="宋体"/>
          <w:color w:val="000000"/>
          <w:kern w:val="0"/>
          <w:sz w:val="32"/>
          <w:szCs w:val="32"/>
        </w:rPr>
        <w:t> </w:t>
      </w:r>
      <w:r>
        <w:rPr>
          <w:rFonts w:ascii="仿宋_GB2312" w:eastAsia="仿宋_GB2312" w:hAnsi="宋体" w:cs="宋体" w:hint="eastAsia"/>
          <w:color w:val="000000"/>
          <w:kern w:val="0"/>
          <w:sz w:val="32"/>
          <w:szCs w:val="32"/>
        </w:rPr>
        <w:t>专业技术人员继续教育规定</w:t>
      </w:r>
      <w:bookmarkEnd w:id="1"/>
    </w:p>
    <w:p w:rsidR="00EF3458" w:rsidRDefault="00EF3458">
      <w:pPr>
        <w:widowControl/>
        <w:spacing w:line="560" w:lineRule="exact"/>
        <w:jc w:val="center"/>
        <w:rPr>
          <w:rFonts w:ascii="仿宋_GB2312" w:eastAsia="仿宋_GB2312" w:hAnsi="宋体" w:cs="宋体"/>
          <w:color w:val="000000"/>
          <w:kern w:val="0"/>
          <w:sz w:val="32"/>
          <w:szCs w:val="32"/>
        </w:rPr>
      </w:pPr>
      <w:r>
        <w:rPr>
          <w:rFonts w:ascii="宋体" w:eastAsia="仿宋_GB2312" w:hAnsi="宋体" w:cs="宋体"/>
          <w:color w:val="000000"/>
          <w:kern w:val="0"/>
          <w:sz w:val="32"/>
          <w:szCs w:val="32"/>
        </w:rPr>
        <w:t> </w:t>
      </w:r>
    </w:p>
    <w:p w:rsidR="00EF3458" w:rsidRDefault="00EF3458">
      <w:pPr>
        <w:widowControl/>
        <w:spacing w:line="56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第一章</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总</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则</w:t>
      </w:r>
      <w:bookmarkEnd w:id="2"/>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第一条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为了规范继续教育活动，保障专业技术人员权益，不断提高专业技术人员素质，根据有关法律法规和国务院规定，制定本规定。</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国家机关、企业、事业单位以及社会团体等组织（以下称用人单位）的专业技术人员继续教育（以下称继续教育），适用本规定。</w:t>
      </w:r>
    </w:p>
    <w:p w:rsidR="00EF3458" w:rsidRDefault="00EF3458">
      <w:pPr>
        <w:widowControl/>
        <w:tabs>
          <w:tab w:val="left" w:pos="100"/>
        </w:tabs>
        <w:spacing w:line="560" w:lineRule="exact"/>
        <w:ind w:firstLine="63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第三条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继续教育应当以经济社会发展和科技进步为导向，以能力建设为核心，突出针对性、实用性和前瞻性，坚持理论联系实际、按需施教、讲求实效、培养与使用相结合的原则。</w:t>
      </w:r>
    </w:p>
    <w:p w:rsidR="00EF3458" w:rsidRDefault="00EF3458" w:rsidP="00790FF0">
      <w:pPr>
        <w:widowControl/>
        <w:spacing w:line="560" w:lineRule="exact"/>
        <w:ind w:firstLineChars="196"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第四条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用人单位应当保障专业技术人员参加继续教育的权利。</w:t>
      </w:r>
    </w:p>
    <w:p w:rsidR="00EF3458" w:rsidRDefault="00EF3458">
      <w:pPr>
        <w:widowControl/>
        <w:spacing w:line="560" w:lineRule="exact"/>
        <w:ind w:firstLine="63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专业技术人员应当适应岗位需要和职业发展的要求，积极参加继续教育，完善知识结构、增强创新能力、提高专业水平。</w:t>
      </w:r>
    </w:p>
    <w:p w:rsidR="00EF3458" w:rsidRDefault="00EF3458" w:rsidP="00790FF0">
      <w:pPr>
        <w:widowControl/>
        <w:adjustRightInd w:val="0"/>
        <w:spacing w:line="560" w:lineRule="exact"/>
        <w:ind w:firstLineChars="196"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第五条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继续教育实行政府、社会、用人单位和个人共同投入机制。</w:t>
      </w:r>
    </w:p>
    <w:p w:rsidR="00EF3458" w:rsidRDefault="00EF3458">
      <w:pPr>
        <w:widowControl/>
        <w:tabs>
          <w:tab w:val="left" w:pos="100"/>
        </w:tabs>
        <w:spacing w:line="560" w:lineRule="exact"/>
        <w:ind w:firstLine="63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国家机关的专业技术人员参加继续教育所需经费应当按照国家有关规定予以保障。企业、事业单位等应当依照法律、行政法规和国家有关规定提取和使用职工教育经费，不断加大对专业技术人员继续教育经费的投入。</w:t>
      </w:r>
    </w:p>
    <w:p w:rsidR="00EF3458" w:rsidRDefault="00EF3458" w:rsidP="00790FF0">
      <w:pPr>
        <w:widowControl/>
        <w:tabs>
          <w:tab w:val="left" w:pos="100"/>
        </w:tabs>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第六条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继续教育工作实行统筹规划、分级负责、分类指导的管理体制。</w:t>
      </w:r>
    </w:p>
    <w:p w:rsidR="00EF3458" w:rsidRDefault="00EF3458" w:rsidP="00790FF0">
      <w:pPr>
        <w:widowControl/>
        <w:tabs>
          <w:tab w:val="left" w:pos="100"/>
        </w:tabs>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人力资源社会保障部负责对全国专业技术人员继续教育工作进行综合管理和统筹协调，制定继续教育政策，编制继续教育规划并组织实施。</w:t>
      </w:r>
    </w:p>
    <w:p w:rsidR="00EF3458" w:rsidRDefault="00EF3458" w:rsidP="00790FF0">
      <w:pPr>
        <w:widowControl/>
        <w:tabs>
          <w:tab w:val="left" w:pos="100"/>
        </w:tabs>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县级以上地方人力资源社会保障行政部门负责对本地区专业技术人员继续教育工作进行综合管理和组织实施。</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行业主管部门在各自职责范围内依法做好本行业继续教育的规划、管理和实施工作。</w:t>
      </w:r>
    </w:p>
    <w:p w:rsidR="00EF3458" w:rsidRDefault="00EF3458">
      <w:pPr>
        <w:widowControl/>
        <w:spacing w:line="56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第二章</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内容和方式</w:t>
      </w:r>
    </w:p>
    <w:p w:rsidR="00EF3458" w:rsidRDefault="00EF3458">
      <w:pPr>
        <w:widowControl/>
        <w:spacing w:line="56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第七条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继续教育内容包括公需科目和专业科目。</w:t>
      </w:r>
    </w:p>
    <w:p w:rsidR="00EF3458" w:rsidRDefault="00EF3458">
      <w:pPr>
        <w:widowControl/>
        <w:spacing w:line="56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公需科目包括专业技术人员应当普遍掌握的法律法规、理论政策、职业道德、技术信息等基本知识。专业科目包括专业技术人员从事专业工作应当掌握的新理论、新知识、新技术、新方法等专业知识。</w:t>
      </w:r>
    </w:p>
    <w:p w:rsidR="00EF3458" w:rsidRDefault="00EF3458">
      <w:pPr>
        <w:widowControl/>
        <w:tabs>
          <w:tab w:val="left" w:pos="100"/>
        </w:tabs>
        <w:spacing w:line="560" w:lineRule="exact"/>
        <w:ind w:firstLine="57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第八条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专业技术人员参加继续教育的时间，每年累计应不少于</w:t>
      </w:r>
      <w:r>
        <w:rPr>
          <w:rFonts w:ascii="仿宋_GB2312" w:eastAsia="仿宋_GB2312" w:hAnsi="宋体" w:cs="宋体"/>
          <w:color w:val="000000"/>
          <w:kern w:val="0"/>
          <w:sz w:val="32"/>
          <w:szCs w:val="32"/>
        </w:rPr>
        <w:t>90</w:t>
      </w:r>
      <w:r>
        <w:rPr>
          <w:rFonts w:ascii="仿宋_GB2312" w:eastAsia="仿宋_GB2312" w:hAnsi="宋体" w:cs="宋体" w:hint="eastAsia"/>
          <w:color w:val="000000"/>
          <w:kern w:val="0"/>
          <w:sz w:val="32"/>
          <w:szCs w:val="32"/>
        </w:rPr>
        <w:t>学时，其中，专业科目一般不少于总学时的三分之二。</w:t>
      </w:r>
    </w:p>
    <w:p w:rsidR="00EF3458" w:rsidRDefault="00EF3458">
      <w:pPr>
        <w:widowControl/>
        <w:tabs>
          <w:tab w:val="left" w:pos="100"/>
        </w:tabs>
        <w:spacing w:line="560" w:lineRule="exact"/>
        <w:ind w:firstLine="57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专业技术人员通过下列方式参加继续教育的，计入本人当年继续教育学时：</w:t>
      </w:r>
    </w:p>
    <w:p w:rsidR="00EF3458" w:rsidRDefault="00EF3458">
      <w:pPr>
        <w:widowControl/>
        <w:spacing w:line="560" w:lineRule="exact"/>
        <w:ind w:firstLine="6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（一）参加培训班、研修班或者进修班学习；</w:t>
      </w:r>
      <w:r>
        <w:rPr>
          <w:rFonts w:ascii="仿宋_GB2312" w:eastAsia="仿宋_GB2312" w:hAnsi="宋体" w:cs="宋体"/>
          <w:color w:val="000000"/>
          <w:kern w:val="0"/>
          <w:sz w:val="32"/>
          <w:szCs w:val="32"/>
        </w:rPr>
        <w:t xml:space="preserve"> </w:t>
      </w:r>
    </w:p>
    <w:p w:rsidR="00EF3458" w:rsidRDefault="00EF3458">
      <w:pPr>
        <w:widowControl/>
        <w:spacing w:line="560" w:lineRule="exact"/>
        <w:ind w:firstLine="6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（二）参加相关的继续教育实践活动；</w:t>
      </w:r>
    </w:p>
    <w:p w:rsidR="00EF3458" w:rsidRDefault="00EF3458">
      <w:pPr>
        <w:widowControl/>
        <w:spacing w:line="56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（三）参加远程教育</w:t>
      </w:r>
      <w:r>
        <w:rPr>
          <w:rFonts w:ascii="仿宋_GB2312" w:eastAsia="仿宋_GB2312" w:hAnsi="宋体" w:cs="宋体"/>
          <w:color w:val="000000"/>
          <w:kern w:val="0"/>
          <w:sz w:val="32"/>
          <w:szCs w:val="32"/>
        </w:rPr>
        <w:t>;</w:t>
      </w:r>
    </w:p>
    <w:p w:rsidR="00EF3458" w:rsidRDefault="00EF3458">
      <w:pPr>
        <w:widowControl/>
        <w:spacing w:line="56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（四）参加学术会议、学术讲座、学术访问等活动；</w:t>
      </w:r>
    </w:p>
    <w:p w:rsidR="00EF3458" w:rsidRDefault="00EF3458">
      <w:pPr>
        <w:widowControl/>
        <w:spacing w:line="560" w:lineRule="exac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（五）符合规定的其他方式。</w:t>
      </w:r>
    </w:p>
    <w:p w:rsidR="00EF3458" w:rsidRDefault="00EF3458">
      <w:pPr>
        <w:widowControl/>
        <w:tabs>
          <w:tab w:val="left" w:pos="100"/>
        </w:tabs>
        <w:spacing w:line="560" w:lineRule="exact"/>
        <w:ind w:firstLine="63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继续教育方式和学时的具体认定办法，由省、自治区、直辖市人力资源社会保障行政部门制定。</w:t>
      </w:r>
    </w:p>
    <w:p w:rsidR="00EF3458" w:rsidRDefault="00EF3458">
      <w:pPr>
        <w:widowControl/>
        <w:tabs>
          <w:tab w:val="left" w:pos="100"/>
        </w:tabs>
        <w:spacing w:line="560" w:lineRule="exact"/>
        <w:ind w:firstLine="57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第九条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用人单位可以根据本规定，结合本单位发展战略和岗位要求，组织开展继续教育活动或者参加本行业组织的继续教育活动，为本单位专业技术人员参加继续教育提供便利。</w:t>
      </w:r>
    </w:p>
    <w:p w:rsidR="00EF3458" w:rsidRDefault="00EF3458">
      <w:pPr>
        <w:widowControl/>
        <w:tabs>
          <w:tab w:val="left" w:pos="100"/>
        </w:tabs>
        <w:spacing w:line="560" w:lineRule="exact"/>
        <w:ind w:firstLine="636"/>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专业技术人员根据岗位要求和职业发展需要，参加本单位组织的继续教育活动，也可以利用业余时间或者经用人单位同意利用工作时间，参加本单位组织之外的继续教育活动。</w:t>
      </w:r>
    </w:p>
    <w:p w:rsidR="00EF3458" w:rsidRDefault="00EF3458" w:rsidP="00790FF0">
      <w:pPr>
        <w:widowControl/>
        <w:tabs>
          <w:tab w:val="left" w:pos="100"/>
        </w:tabs>
        <w:spacing w:line="560" w:lineRule="exact"/>
        <w:ind w:firstLineChars="196"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第十一条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专业技术人员按照有关法律法规规定从事有职业资格要求工作的，用人单位应当为其参加继续教育活动提供保障。</w:t>
      </w:r>
    </w:p>
    <w:p w:rsidR="00EF3458" w:rsidRDefault="00EF3458" w:rsidP="00790FF0">
      <w:pPr>
        <w:widowControl/>
        <w:spacing w:line="560" w:lineRule="exact"/>
        <w:ind w:firstLineChars="212" w:firstLine="31680"/>
        <w:jc w:val="left"/>
        <w:rPr>
          <w:rFonts w:ascii="仿宋_GB2312" w:eastAsia="仿宋_GB2312" w:hAnsi="宋体" w:cs="宋体"/>
          <w:color w:val="000000"/>
          <w:kern w:val="0"/>
          <w:sz w:val="32"/>
          <w:szCs w:val="32"/>
        </w:rPr>
      </w:pPr>
      <w:r>
        <w:rPr>
          <w:rFonts w:ascii="仿宋_GB2312" w:eastAsia="仿宋_GB2312" w:hAnsi="宋体" w:hint="eastAsia"/>
          <w:color w:val="000000"/>
          <w:kern w:val="0"/>
          <w:sz w:val="32"/>
          <w:szCs w:val="32"/>
        </w:rPr>
        <w:t>第十二条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专业技术人员经用人单位同意，脱产或者半脱产参加继续教育活动的，用人单位应当按照国家有关规定或者与劳动者的约定，支付工资、福利等待遇。</w:t>
      </w:r>
    </w:p>
    <w:p w:rsidR="00EF3458" w:rsidRDefault="00EF3458" w:rsidP="00790FF0">
      <w:pPr>
        <w:widowControl/>
        <w:spacing w:line="560" w:lineRule="exact"/>
        <w:ind w:firstLineChars="212"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用人单位安排专业技术人员在工作时间之外参加继续教育活动的，双方应当约定费用分担方式和相关待遇。</w:t>
      </w:r>
    </w:p>
    <w:p w:rsidR="00EF3458" w:rsidRDefault="00EF3458">
      <w:pPr>
        <w:widowControl/>
        <w:spacing w:line="560" w:lineRule="exact"/>
        <w:ind w:firstLine="678"/>
        <w:jc w:val="left"/>
        <w:rPr>
          <w:rFonts w:ascii="仿宋_GB2312" w:eastAsia="仿宋_GB2312" w:hAnsi="宋体" w:cs="宋体"/>
          <w:color w:val="000000"/>
          <w:kern w:val="0"/>
          <w:sz w:val="32"/>
          <w:szCs w:val="32"/>
        </w:rPr>
      </w:pPr>
      <w:r>
        <w:rPr>
          <w:rFonts w:ascii="仿宋_GB2312" w:eastAsia="仿宋_GB2312" w:hAnsi="宋体" w:hint="eastAsia"/>
          <w:color w:val="000000"/>
          <w:kern w:val="0"/>
          <w:sz w:val="32"/>
          <w:szCs w:val="32"/>
        </w:rPr>
        <w:t>第十三条</w:t>
      </w:r>
      <w:r>
        <w:rPr>
          <w:rFonts w:ascii="仿宋_GB2312" w:eastAsia="仿宋_GB2312" w:hAnsi="宋体"/>
          <w:color w:val="000000"/>
          <w:kern w:val="0"/>
          <w:sz w:val="32"/>
          <w:szCs w:val="32"/>
        </w:rPr>
        <w:t xml:space="preserve"> </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用人单位可以与生产、教学、科研等单位联合开展继续教育活动，建立生产、教学、科研以及项目、资金、人才相结合的继续教育模式。</w:t>
      </w:r>
    </w:p>
    <w:p w:rsidR="00EF3458" w:rsidRDefault="00EF3458" w:rsidP="00790FF0">
      <w:pPr>
        <w:widowControl/>
        <w:spacing w:line="560" w:lineRule="exact"/>
        <w:ind w:firstLineChars="212" w:firstLine="31680"/>
        <w:jc w:val="left"/>
        <w:rPr>
          <w:rFonts w:ascii="仿宋_GB2312" w:eastAsia="仿宋_GB2312" w:hAnsi="宋体" w:cs="宋体"/>
          <w:color w:val="000000"/>
          <w:kern w:val="0"/>
          <w:sz w:val="32"/>
          <w:szCs w:val="32"/>
        </w:rPr>
      </w:pPr>
      <w:r>
        <w:rPr>
          <w:rFonts w:ascii="仿宋_GB2312" w:eastAsia="仿宋_GB2312" w:hAnsi="宋体" w:hint="eastAsia"/>
          <w:color w:val="000000"/>
          <w:kern w:val="0"/>
          <w:sz w:val="32"/>
          <w:szCs w:val="32"/>
        </w:rPr>
        <w:t>第十四条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国家通过实施重大人才工程和继续教育项目、区域人才特殊培养项目、对口支援等方式，对重点领域、特殊区域和关键岗位的专业技术人员继续教育工作给予扶持。</w:t>
      </w:r>
    </w:p>
    <w:p w:rsidR="00EF3458" w:rsidRDefault="00EF3458" w:rsidP="00790FF0">
      <w:pPr>
        <w:widowControl/>
        <w:spacing w:line="560" w:lineRule="exact"/>
        <w:ind w:firstLineChars="212" w:firstLine="31680"/>
        <w:jc w:val="left"/>
        <w:rPr>
          <w:rFonts w:ascii="仿宋_GB2312" w:eastAsia="仿宋_GB2312" w:hAnsi="宋体" w:cs="宋体"/>
          <w:color w:val="000000"/>
          <w:kern w:val="0"/>
          <w:sz w:val="32"/>
          <w:szCs w:val="32"/>
        </w:rPr>
      </w:pPr>
    </w:p>
    <w:p w:rsidR="00EF3458" w:rsidRDefault="00EF3458">
      <w:pPr>
        <w:widowControl/>
        <w:spacing w:line="56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第三章</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组织管理和公共服务</w:t>
      </w:r>
    </w:p>
    <w:p w:rsidR="00EF3458" w:rsidRDefault="00EF3458">
      <w:pPr>
        <w:widowControl/>
        <w:tabs>
          <w:tab w:val="left" w:pos="100"/>
        </w:tabs>
        <w:spacing w:line="560" w:lineRule="exact"/>
        <w:ind w:firstLine="57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第十五条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专业技术人员应当遵守有关学习纪律和管理制度，完成规定的继续教育学时。</w:t>
      </w:r>
    </w:p>
    <w:p w:rsidR="00EF3458" w:rsidRDefault="00EF3458">
      <w:pPr>
        <w:widowControl/>
        <w:tabs>
          <w:tab w:val="left" w:pos="100"/>
        </w:tabs>
        <w:spacing w:line="560" w:lineRule="exact"/>
        <w:ind w:firstLine="57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专业技术人员承担全部或者大部分继续教育费用的，用人单位不得指定继续教育机构。</w:t>
      </w:r>
    </w:p>
    <w:p w:rsidR="00EF3458" w:rsidRDefault="00EF3458" w:rsidP="00790FF0">
      <w:pPr>
        <w:widowControl/>
        <w:tabs>
          <w:tab w:val="left" w:pos="100"/>
        </w:tabs>
        <w:spacing w:line="560" w:lineRule="exact"/>
        <w:ind w:firstLineChars="196"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第十六条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用人单位应当建立本单位专业技术人员继续教育与使用、晋升相衔接的激励机制，把专业技术人员参加继续教育情况作为专业技术人员考核评价、岗位聘用的重要依据。</w:t>
      </w:r>
    </w:p>
    <w:p w:rsidR="00EF3458" w:rsidRDefault="00EF3458">
      <w:pPr>
        <w:widowControl/>
        <w:spacing w:line="560" w:lineRule="exact"/>
        <w:jc w:val="left"/>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专业技术人员参加继续教育情况应当作为聘任专业技术职务或者申报评定上一级资格的重要条件。有关法律法规规定专业技术人员参加继续教育作为职业资格登记或者注册的必要条件的，从其规定。</w:t>
      </w:r>
    </w:p>
    <w:p w:rsidR="00EF3458" w:rsidRDefault="00EF3458" w:rsidP="00790FF0">
      <w:pPr>
        <w:widowControl/>
        <w:spacing w:line="560" w:lineRule="exact"/>
        <w:ind w:firstLineChars="196"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第十七条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用人单位应当建立继续教育登记管理制度，对专业技术人员参加继续教育的种类、内容、时间和考试考核结果等情况进行记录。</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第十八条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依法成立的高等院校、科研院所、大型企业的培训机构等各类教育培训机构（以下称继续教育机构）可以面向专业技术人员提供继续教育服务。</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继续教育机构应当具备与继续教育目的任务相适应的场所、设施、教材和人员，建立健全相应的组织机构和管理制度。</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第十九条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继续教育机构应当认真实施继续教育教学计划，向社会公开继续教育的范围、内容、收费项目及标准等情况，建立教学档案，根据考试考核结果如实出具专业技术人员参加继续教育的证明。</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继续教育机构可以充分利用现代信息技术开展远程教育，形成开放式的继续教育网络，为基层、一线专业技术人员更新知识结构、提高能力素质提供便捷高效的服务。</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继续教育机构应当按照专兼职结合的原则，聘请具有丰富实践经验、理论水平高的业务骨干和专家学者，建设继续教育师资队伍。</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第二十一条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人力资源社会保障部按照国家有关规定遴选培训质量高、社会效益好、在继续教育方面起引领和示范作用的继续教育机构，建设国家级专业技术人员继续教育基地。</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县级以上地方人力资源社会保障行政部门和有关行业主管部门可以结合实际，建设区域性、行业性专业技术人员继续教育基地。</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第二十二条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人力资源社会保障行政部门会同有关行业主管部门和行业组织，建立健全继续教育公共服务体系，搭建继续教育公共信息综合服务平台，发布继续教育公需科目指南和专业科目指南。</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人力资源社会保障行政部门会同有关行业主管部门和行业组织，根据专业技术人员不同岗位、类别和层次，加强课程和教材体系建设，推荐优秀课程和优秀教材，促进优质资源共享。</w:t>
      </w: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第二十三条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人力资源社会保障行政部门和有关行业主管部门直接举办继续教育活动的，应当突出公益性，不得收取费用。</w:t>
      </w: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人力资源社会保障行政部门和有关行业主管部门委托继续教育机构举办继续教育活动的，应当依法通过招标等方式选择，并与继续教育机构签订政府采购合同，明确双方权利和义务。</w:t>
      </w: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鼓励和支持企业、事业单位、行业组织等举办公益性继续教育活动。</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hint="eastAsia"/>
          <w:color w:val="000000"/>
          <w:kern w:val="0"/>
          <w:sz w:val="32"/>
          <w:szCs w:val="32"/>
        </w:rPr>
        <w:t>第二十四条</w:t>
      </w:r>
      <w:r>
        <w:rPr>
          <w:rFonts w:ascii="仿宋_GB2312" w:eastAsia="仿宋_GB2312" w:hAnsi="宋体"/>
          <w:color w:val="000000"/>
          <w:kern w:val="0"/>
          <w:sz w:val="32"/>
          <w:szCs w:val="32"/>
        </w:rPr>
        <w:t xml:space="preserve"> </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人力资源社会保障行政部门应当建立继续教育统计制度，对继续教育人数、时间、经费等基本情况进行常规统计和随机统计，建立专业技术人员继续教育情况数据库。</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hint="eastAsia"/>
          <w:color w:val="000000"/>
          <w:kern w:val="0"/>
          <w:sz w:val="32"/>
          <w:szCs w:val="32"/>
        </w:rPr>
        <w:t>第二十五条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人力资源社会保障行政部门或者其委托的第三方评估机构可以对继续教育效果实施评估，评估结果作为政府有关项目支持的重要参考。</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hint="eastAsia"/>
          <w:color w:val="000000"/>
          <w:kern w:val="0"/>
          <w:sz w:val="32"/>
          <w:szCs w:val="32"/>
        </w:rPr>
        <w:t>第二十六条</w:t>
      </w:r>
      <w:r>
        <w:rPr>
          <w:rFonts w:ascii="仿宋_GB2312" w:eastAsia="仿宋_GB2312" w:hAnsi="宋体"/>
          <w:color w:val="000000"/>
          <w:kern w:val="0"/>
          <w:sz w:val="32"/>
          <w:szCs w:val="32"/>
        </w:rPr>
        <w:t xml:space="preserve"> </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人力资源社会保障行政部门应当依法对用人单位、继续教育机构执行本规定的情况进行监督检查。</w:t>
      </w:r>
      <w:bookmarkStart w:id="3" w:name="_Toc186257645"/>
    </w:p>
    <w:p w:rsidR="00EF3458" w:rsidRDefault="00EF3458">
      <w:pPr>
        <w:widowControl/>
        <w:spacing w:line="560" w:lineRule="exact"/>
        <w:jc w:val="center"/>
        <w:rPr>
          <w:rFonts w:ascii="仿宋_GB2312" w:eastAsia="仿宋_GB2312" w:hAnsi="宋体" w:cs="宋体"/>
          <w:color w:val="000000"/>
          <w:kern w:val="0"/>
          <w:sz w:val="32"/>
          <w:szCs w:val="32"/>
        </w:rPr>
      </w:pPr>
    </w:p>
    <w:p w:rsidR="00EF3458" w:rsidRDefault="00EF3458">
      <w:pPr>
        <w:widowControl/>
        <w:spacing w:line="560" w:lineRule="exact"/>
        <w:jc w:val="center"/>
        <w:rPr>
          <w:rFonts w:ascii="仿宋_GB2312" w:eastAsia="仿宋_GB2312" w:hAnsi="宋体" w:cs="宋体"/>
          <w:color w:val="000000"/>
          <w:kern w:val="0"/>
          <w:sz w:val="32"/>
          <w:szCs w:val="32"/>
        </w:rPr>
      </w:pPr>
    </w:p>
    <w:p w:rsidR="00EF3458" w:rsidRDefault="00EF3458">
      <w:pPr>
        <w:widowControl/>
        <w:spacing w:line="56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第四章</w:t>
      </w:r>
      <w:r>
        <w:rPr>
          <w:rFonts w:ascii="仿宋_GB2312" w:eastAsia="仿宋_GB2312" w:hAnsi="宋体" w:cs="宋体"/>
          <w:color w:val="000000"/>
          <w:kern w:val="0"/>
          <w:sz w:val="32"/>
          <w:szCs w:val="32"/>
        </w:rPr>
        <w:t xml:space="preserve">   </w:t>
      </w:r>
      <w:bookmarkEnd w:id="3"/>
      <w:r>
        <w:rPr>
          <w:rFonts w:ascii="仿宋_GB2312" w:eastAsia="仿宋_GB2312" w:hAnsi="宋体" w:cs="宋体" w:hint="eastAsia"/>
          <w:color w:val="000000"/>
          <w:kern w:val="0"/>
          <w:sz w:val="32"/>
          <w:szCs w:val="32"/>
        </w:rPr>
        <w:t>法律责任</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hint="eastAsia"/>
          <w:color w:val="000000"/>
          <w:kern w:val="0"/>
          <w:sz w:val="32"/>
          <w:szCs w:val="32"/>
        </w:rPr>
        <w:t>第二十七条</w:t>
      </w:r>
      <w:r>
        <w:rPr>
          <w:rFonts w:ascii="仿宋_GB2312" w:eastAsia="仿宋_GB2312" w:hAnsi="宋体"/>
          <w:color w:val="000000"/>
          <w:kern w:val="0"/>
          <w:sz w:val="32"/>
          <w:szCs w:val="32"/>
        </w:rPr>
        <w:t xml:space="preserve">  </w:t>
      </w:r>
      <w:r>
        <w:rPr>
          <w:rFonts w:ascii="仿宋_GB2312" w:eastAsia="仿宋_GB2312" w:hAnsi="宋体" w:cs="宋体" w:hint="eastAsia"/>
          <w:color w:val="000000"/>
          <w:kern w:val="0"/>
          <w:sz w:val="32"/>
          <w:szCs w:val="32"/>
        </w:rPr>
        <w:t>用人单位违反本规定第五条、第十一条、第十二条、第十五条第二款、第十六条、第十七条规定的，由人力资源社会保障行政部门或者有关行业主管部门责令改正；给专业技术人员造成损害的，依法承担赔偿责任。</w:t>
      </w:r>
    </w:p>
    <w:p w:rsidR="00EF3458" w:rsidRDefault="00EF3458" w:rsidP="00790FF0">
      <w:pPr>
        <w:widowControl/>
        <w:tabs>
          <w:tab w:val="left" w:pos="100"/>
        </w:tabs>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第二十八条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专业技术人员违反本规定第八条第一款、第十五条第一款规定，无正当理由不参加继续教育或者在学习期间违反学习纪律和管理制度的，用人单位可视情节给予批评教育、不予报销或者要求退还学习费用。</w:t>
      </w:r>
    </w:p>
    <w:p w:rsidR="00EF3458" w:rsidRDefault="00EF3458" w:rsidP="00790FF0">
      <w:pPr>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第二十九条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继续教育机构违反本规定第十九条第一款规定的，由人力资源社会保障行政部门或者有关行业主管部门责令改正，给予警告。</w:t>
      </w:r>
    </w:p>
    <w:p w:rsidR="00EF3458" w:rsidRDefault="00EF3458" w:rsidP="00790FF0">
      <w:pPr>
        <w:widowControl/>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第三十条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人力资源社会保障行政部门、有关行业主管部门及其工作人员，在继续教育管理工作中不认真履行职责或者徇私舞弊、滥用职权、玩忽职守的，由其上级主管部门或者监察机关责令改正，并按照管理权限对直接负责的主管人员和其他直接责任人员依法予以处理。</w:t>
      </w:r>
    </w:p>
    <w:p w:rsidR="00EF3458" w:rsidRDefault="00EF3458">
      <w:pPr>
        <w:widowControl/>
        <w:spacing w:line="560" w:lineRule="exact"/>
        <w:jc w:val="center"/>
        <w:rPr>
          <w:rFonts w:ascii="仿宋_GB2312" w:eastAsia="仿宋_GB2312" w:hAnsi="宋体" w:cs="宋体"/>
          <w:color w:val="000000"/>
          <w:kern w:val="0"/>
          <w:sz w:val="32"/>
          <w:szCs w:val="32"/>
        </w:rPr>
      </w:pPr>
      <w:bookmarkStart w:id="4" w:name="_Toc186257646"/>
      <w:r>
        <w:rPr>
          <w:rFonts w:ascii="仿宋_GB2312" w:eastAsia="仿宋_GB2312" w:hAnsi="宋体" w:cs="宋体" w:hint="eastAsia"/>
          <w:color w:val="000000"/>
          <w:kern w:val="0"/>
          <w:sz w:val="32"/>
          <w:szCs w:val="32"/>
        </w:rPr>
        <w:t>第五章</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附</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则</w:t>
      </w:r>
      <w:bookmarkEnd w:id="4"/>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第三十一条</w:t>
      </w:r>
      <w:r>
        <w:rPr>
          <w:rFonts w:ascii="仿宋_GB2312" w:eastAsia="仿宋_GB2312" w:hAnsi="宋体" w:cs="宋体"/>
          <w:color w:val="000000"/>
          <w:kern w:val="0"/>
          <w:sz w:val="32"/>
          <w:szCs w:val="32"/>
        </w:rPr>
        <w:t xml:space="preserve">  </w:t>
      </w:r>
      <w:r>
        <w:rPr>
          <w:rFonts w:ascii="仿宋_GB2312" w:eastAsia="仿宋_GB2312" w:hAnsi="宋体" w:cs="宋体" w:hint="eastAsia"/>
          <w:color w:val="000000"/>
          <w:kern w:val="0"/>
          <w:sz w:val="32"/>
          <w:szCs w:val="32"/>
        </w:rPr>
        <w:t>本规定自</w:t>
      </w:r>
      <w:r>
        <w:rPr>
          <w:rFonts w:ascii="仿宋_GB2312" w:eastAsia="仿宋_GB2312" w:hAnsi="宋体" w:cs="宋体"/>
          <w:color w:val="000000"/>
          <w:kern w:val="0"/>
          <w:sz w:val="32"/>
          <w:szCs w:val="32"/>
        </w:rPr>
        <w:t>2015</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10</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日起施行。</w:t>
      </w:r>
      <w:r>
        <w:rPr>
          <w:rFonts w:ascii="仿宋_GB2312" w:eastAsia="仿宋_GB2312" w:hAnsi="宋体" w:cs="宋体"/>
          <w:color w:val="000000"/>
          <w:kern w:val="0"/>
          <w:sz w:val="32"/>
          <w:szCs w:val="32"/>
        </w:rPr>
        <w:t>1995</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11</w:t>
      </w:r>
      <w:r>
        <w:rPr>
          <w:rFonts w:ascii="仿宋_GB2312" w:eastAsia="仿宋_GB2312" w:hAnsi="宋体" w:cs="宋体" w:hint="eastAsia"/>
          <w:color w:val="000000"/>
          <w:kern w:val="0"/>
          <w:sz w:val="32"/>
          <w:szCs w:val="32"/>
        </w:rPr>
        <w:t>月</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日原人事部发布的《全国专业技术人员继续教育暂行规定》（人核培发〔</w:t>
      </w:r>
      <w:r>
        <w:rPr>
          <w:rFonts w:ascii="仿宋_GB2312" w:eastAsia="仿宋_GB2312" w:hAnsi="宋体" w:cs="宋体"/>
          <w:color w:val="000000"/>
          <w:kern w:val="0"/>
          <w:sz w:val="32"/>
          <w:szCs w:val="32"/>
        </w:rPr>
        <w:t>1995</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131</w:t>
      </w:r>
      <w:r>
        <w:rPr>
          <w:rFonts w:ascii="仿宋_GB2312" w:eastAsia="仿宋_GB2312" w:hAnsi="宋体" w:cs="宋体" w:hint="eastAsia"/>
          <w:color w:val="000000"/>
          <w:kern w:val="0"/>
          <w:sz w:val="32"/>
          <w:szCs w:val="32"/>
        </w:rPr>
        <w:t>号）同时废止。</w:t>
      </w: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widowControl/>
        <w:adjustRightInd w:val="0"/>
        <w:spacing w:line="560" w:lineRule="exact"/>
        <w:ind w:firstLineChars="200" w:firstLine="31680"/>
        <w:jc w:val="left"/>
        <w:rPr>
          <w:rFonts w:ascii="仿宋_GB2312" w:eastAsia="仿宋_GB2312" w:hAnsi="宋体" w:cs="宋体"/>
          <w:color w:val="000000"/>
          <w:kern w:val="0"/>
          <w:sz w:val="32"/>
          <w:szCs w:val="32"/>
        </w:rPr>
      </w:pPr>
    </w:p>
    <w:p w:rsidR="00EF3458" w:rsidRDefault="00EF3458" w:rsidP="00790FF0">
      <w:pPr>
        <w:shd w:val="clear" w:color="auto" w:fill="FFFFFF"/>
        <w:kinsoku w:val="0"/>
        <w:overflowPunct w:val="0"/>
        <w:autoSpaceDE w:val="0"/>
        <w:autoSpaceDN w:val="0"/>
        <w:spacing w:beforeLines="50"/>
        <w:ind w:firstLineChars="1350" w:firstLine="31680"/>
        <w:rPr>
          <w:rFonts w:ascii="仿宋" w:eastAsia="仿宋" w:hAnsi="仿宋" w:cs="宋体"/>
          <w:sz w:val="32"/>
          <w:szCs w:val="32"/>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072"/>
      </w:tblGrid>
      <w:tr w:rsidR="00EF3458" w:rsidTr="00C344D3">
        <w:trPr>
          <w:trHeight w:val="480"/>
        </w:trPr>
        <w:tc>
          <w:tcPr>
            <w:tcW w:w="9072" w:type="dxa"/>
            <w:tcBorders>
              <w:left w:val="nil"/>
              <w:right w:val="nil"/>
            </w:tcBorders>
            <w:vAlign w:val="center"/>
          </w:tcPr>
          <w:p w:rsidR="00EF3458" w:rsidRDefault="00EF3458" w:rsidP="00EF3458">
            <w:pPr>
              <w:kinsoku w:val="0"/>
              <w:overflowPunct w:val="0"/>
              <w:autoSpaceDE w:val="0"/>
              <w:autoSpaceDN w:val="0"/>
              <w:ind w:firstLineChars="50" w:firstLine="31680"/>
              <w:rPr>
                <w:rFonts w:ascii="仿宋_GB2312" w:eastAsia="仿宋_GB2312"/>
                <w:sz w:val="28"/>
                <w:szCs w:val="28"/>
              </w:rPr>
            </w:pPr>
            <w:r>
              <w:rPr>
                <w:rFonts w:ascii="仿宋_GB2312" w:eastAsia="仿宋_GB2312" w:hint="eastAsia"/>
                <w:sz w:val="32"/>
                <w:szCs w:val="32"/>
              </w:rPr>
              <w:t>福建省人力资源和社会保障局办公室</w:t>
            </w:r>
            <w:r>
              <w:rPr>
                <w:rFonts w:ascii="仿宋_GB2312" w:eastAsia="仿宋_GB2312" w:hAnsi="Calibri"/>
                <w:sz w:val="28"/>
                <w:szCs w:val="28"/>
              </w:rPr>
              <w:t xml:space="preserve">           2015</w:t>
            </w:r>
            <w:r>
              <w:rPr>
                <w:rFonts w:ascii="仿宋_GB2312" w:eastAsia="仿宋_GB2312" w:hAnsi="Calibri" w:hint="eastAsia"/>
                <w:sz w:val="28"/>
                <w:szCs w:val="28"/>
              </w:rPr>
              <w:t>年</w:t>
            </w:r>
            <w:r>
              <w:rPr>
                <w:rFonts w:ascii="仿宋_GB2312" w:eastAsia="仿宋_GB2312" w:hAnsi="Calibri"/>
                <w:sz w:val="28"/>
                <w:szCs w:val="28"/>
              </w:rPr>
              <w:t>11</w:t>
            </w:r>
            <w:r>
              <w:rPr>
                <w:rFonts w:ascii="仿宋_GB2312" w:eastAsia="仿宋_GB2312" w:hAnsi="Calibri" w:hint="eastAsia"/>
                <w:sz w:val="28"/>
                <w:szCs w:val="28"/>
              </w:rPr>
              <w:t>月</w:t>
            </w:r>
            <w:r>
              <w:rPr>
                <w:rFonts w:ascii="仿宋_GB2312" w:eastAsia="仿宋_GB2312"/>
                <w:sz w:val="28"/>
                <w:szCs w:val="28"/>
              </w:rPr>
              <w:t>11</w:t>
            </w:r>
            <w:r>
              <w:rPr>
                <w:rFonts w:ascii="仿宋_GB2312" w:eastAsia="仿宋_GB2312" w:hAnsi="Calibri" w:hint="eastAsia"/>
                <w:sz w:val="28"/>
                <w:szCs w:val="28"/>
              </w:rPr>
              <w:t>日印发</w:t>
            </w:r>
          </w:p>
        </w:tc>
      </w:tr>
    </w:tbl>
    <w:p w:rsidR="00EF3458" w:rsidRDefault="00EF3458" w:rsidP="00724516">
      <w:pPr>
        <w:ind w:firstLine="420"/>
      </w:pPr>
    </w:p>
    <w:p w:rsidR="00EF3458" w:rsidRDefault="00EF3458" w:rsidP="0030008B">
      <w:pPr>
        <w:widowControl/>
        <w:adjustRightInd w:val="0"/>
        <w:spacing w:line="560" w:lineRule="exact"/>
        <w:ind w:firstLineChars="200" w:firstLine="31680"/>
        <w:jc w:val="left"/>
        <w:rPr>
          <w:rFonts w:ascii="仿宋_GB2312" w:eastAsia="仿宋_GB2312" w:hAnsi="宋体" w:cs="宋体"/>
          <w:color w:val="000000"/>
          <w:kern w:val="0"/>
          <w:sz w:val="32"/>
          <w:szCs w:val="32"/>
        </w:rPr>
      </w:pPr>
    </w:p>
    <w:sectPr w:rsidR="00EF3458" w:rsidSect="00D02E3D">
      <w:headerReference w:type="even" r:id="rId6"/>
      <w:headerReference w:type="default" r:id="rId7"/>
      <w:footerReference w:type="even" r:id="rId8"/>
      <w:footerReference w:type="default" r:id="rId9"/>
      <w:headerReference w:type="first" r:id="rId10"/>
      <w:footerReference w:type="first" r:id="rId11"/>
      <w:pgSz w:w="11906" w:h="16838"/>
      <w:pgMar w:top="1701" w:right="1304" w:bottom="1474" w:left="1418" w:header="851" w:footer="992" w:gutter="0"/>
      <w:cols w:space="0"/>
      <w:docGrid w:type="linesAndChars" w:linePitch="291" w:charSpace="-34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458" w:rsidRDefault="00EF3458">
      <w:r>
        <w:separator/>
      </w:r>
    </w:p>
  </w:endnote>
  <w:endnote w:type="continuationSeparator" w:id="0">
    <w:p w:rsidR="00EF3458" w:rsidRDefault="00EF3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58" w:rsidRDefault="00EF34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58" w:rsidRDefault="00EF34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58" w:rsidRDefault="00EF34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458" w:rsidRDefault="00EF3458">
      <w:r>
        <w:separator/>
      </w:r>
    </w:p>
  </w:footnote>
  <w:footnote w:type="continuationSeparator" w:id="0">
    <w:p w:rsidR="00EF3458" w:rsidRDefault="00EF34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58" w:rsidRDefault="00EF3458">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58" w:rsidRDefault="00EF3458" w:rsidP="00790FF0">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58" w:rsidRDefault="00EF3458">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93"/>
  <w:drawingGridVerticalSpacing w:val="29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2E3D"/>
    <w:rsid w:val="0030008B"/>
    <w:rsid w:val="00724516"/>
    <w:rsid w:val="00790FF0"/>
    <w:rsid w:val="008E31FB"/>
    <w:rsid w:val="00C344D3"/>
    <w:rsid w:val="00C372F0"/>
    <w:rsid w:val="00D02E3D"/>
    <w:rsid w:val="00EF34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E3D"/>
    <w:pPr>
      <w:widowControl w:val="0"/>
      <w:jc w:val="both"/>
    </w:pPr>
    <w:rPr>
      <w:szCs w:val="24"/>
    </w:rPr>
  </w:style>
  <w:style w:type="paragraph" w:styleId="Heading3">
    <w:name w:val="heading 3"/>
    <w:basedOn w:val="Normal"/>
    <w:link w:val="Heading3Char"/>
    <w:uiPriority w:val="99"/>
    <w:qFormat/>
    <w:rsid w:val="00D02E3D"/>
    <w:pPr>
      <w:widowControl/>
      <w:spacing w:before="100" w:beforeAutospacing="1" w:after="100" w:afterAutospacing="1"/>
      <w:jc w:val="left"/>
      <w:outlineLvl w:val="2"/>
    </w:pPr>
    <w:rPr>
      <w:rFonts w:ascii="宋体" w:hAnsi="宋体" w:cs="宋体"/>
      <w:kern w:val="0"/>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D02E3D"/>
    <w:rPr>
      <w:rFonts w:ascii="宋体" w:eastAsia="宋体" w:hAnsi="宋体" w:cs="宋体"/>
      <w:kern w:val="0"/>
      <w:sz w:val="18"/>
      <w:szCs w:val="18"/>
    </w:rPr>
  </w:style>
  <w:style w:type="paragraph" w:styleId="Date">
    <w:name w:val="Date"/>
    <w:basedOn w:val="Normal"/>
    <w:next w:val="Normal"/>
    <w:link w:val="DateChar"/>
    <w:uiPriority w:val="99"/>
    <w:semiHidden/>
    <w:rsid w:val="00D02E3D"/>
    <w:pPr>
      <w:ind w:leftChars="2500" w:left="100"/>
    </w:pPr>
  </w:style>
  <w:style w:type="character" w:customStyle="1" w:styleId="DateChar">
    <w:name w:val="Date Char"/>
    <w:basedOn w:val="DefaultParagraphFont"/>
    <w:link w:val="Date"/>
    <w:uiPriority w:val="99"/>
    <w:semiHidden/>
    <w:locked/>
    <w:rsid w:val="00D02E3D"/>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D02E3D"/>
    <w:rPr>
      <w:sz w:val="18"/>
      <w:szCs w:val="18"/>
    </w:rPr>
  </w:style>
  <w:style w:type="character" w:customStyle="1" w:styleId="BalloonTextChar">
    <w:name w:val="Balloon Text Char"/>
    <w:basedOn w:val="DefaultParagraphFont"/>
    <w:link w:val="BalloonText"/>
    <w:uiPriority w:val="99"/>
    <w:semiHidden/>
    <w:locked/>
    <w:rsid w:val="00D02E3D"/>
    <w:rPr>
      <w:rFonts w:ascii="Times New Roman" w:eastAsia="宋体" w:hAnsi="Times New Roman" w:cs="Times New Roman"/>
      <w:sz w:val="18"/>
      <w:szCs w:val="18"/>
    </w:rPr>
  </w:style>
  <w:style w:type="paragraph" w:styleId="Footer">
    <w:name w:val="footer"/>
    <w:basedOn w:val="Normal"/>
    <w:link w:val="FooterChar"/>
    <w:uiPriority w:val="99"/>
    <w:semiHidden/>
    <w:rsid w:val="00D02E3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E57A1C"/>
    <w:rPr>
      <w:sz w:val="18"/>
      <w:szCs w:val="18"/>
    </w:rPr>
  </w:style>
  <w:style w:type="paragraph" w:styleId="Header">
    <w:name w:val="header"/>
    <w:basedOn w:val="Normal"/>
    <w:link w:val="HeaderChar"/>
    <w:uiPriority w:val="99"/>
    <w:semiHidden/>
    <w:rsid w:val="00D02E3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E57A1C"/>
    <w:rPr>
      <w:sz w:val="18"/>
      <w:szCs w:val="18"/>
    </w:rPr>
  </w:style>
  <w:style w:type="paragraph" w:styleId="NormalWeb">
    <w:name w:val="Normal (Web)"/>
    <w:basedOn w:val="Normal"/>
    <w:uiPriority w:val="99"/>
    <w:semiHidden/>
    <w:rsid w:val="00D02E3D"/>
    <w:pPr>
      <w:widowControl/>
      <w:jc w:val="left"/>
    </w:pPr>
    <w:rPr>
      <w:rFonts w:ascii="宋体" w:hAnsi="宋体" w:cs="宋体"/>
      <w:kern w:val="0"/>
      <w:sz w:val="24"/>
    </w:rPr>
  </w:style>
  <w:style w:type="character" w:styleId="Strong">
    <w:name w:val="Strong"/>
    <w:basedOn w:val="DefaultParagraphFont"/>
    <w:uiPriority w:val="99"/>
    <w:qFormat/>
    <w:rsid w:val="00D02E3D"/>
    <w:rPr>
      <w:rFonts w:cs="Times New Roman"/>
      <w:b/>
      <w:bCs/>
    </w:rPr>
  </w:style>
  <w:style w:type="paragraph" w:customStyle="1" w:styleId="1">
    <w:name w:val="无间隔1"/>
    <w:uiPriority w:val="99"/>
    <w:rsid w:val="00D02E3D"/>
    <w:pPr>
      <w:widowControl w:val="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527</Words>
  <Characters>3005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莆人社文〔2015〕395 号</dc:title>
  <dc:subject/>
  <dc:creator>Administrator</dc:creator>
  <cp:keywords/>
  <dc:description/>
  <cp:lastModifiedBy>微软用户</cp:lastModifiedBy>
  <cp:revision>2</cp:revision>
  <cp:lastPrinted>2015-12-07T00:51:00Z</cp:lastPrinted>
  <dcterms:created xsi:type="dcterms:W3CDTF">2015-12-03T06:32:00Z</dcterms:created>
  <dcterms:modified xsi:type="dcterms:W3CDTF">2016-07-13T01:43:00Z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